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9C" w:rsidRDefault="00E10F9C" w:rsidP="00E10F9C"/>
    <w:p w:rsidR="00E10F9C" w:rsidRDefault="00E10F9C" w:rsidP="00E10F9C">
      <w:pPr>
        <w:rPr>
          <w:rFonts w:ascii="Verdana" w:hAnsi="Verdana"/>
          <w:sz w:val="20"/>
          <w:szCs w:val="20"/>
        </w:rPr>
      </w:pPr>
      <w:r>
        <w:t>I have reviewed the Phase 1 desk study for land at Pall Mall/</w:t>
      </w:r>
      <w:proofErr w:type="spellStart"/>
      <w:r>
        <w:t>Silvester</w:t>
      </w:r>
      <w:proofErr w:type="spellEnd"/>
      <w:r>
        <w:t xml:space="preserve"> Road ref </w:t>
      </w:r>
      <w:r>
        <w:rPr>
          <w:rFonts w:ascii="Verdana" w:hAnsi="Verdana"/>
          <w:sz w:val="20"/>
          <w:szCs w:val="20"/>
        </w:rPr>
        <w:t>11-11-01 Revision 0 dated November 2011.</w:t>
      </w:r>
    </w:p>
    <w:p w:rsidR="00E10F9C" w:rsidRDefault="00E10F9C" w:rsidP="00E10F9C">
      <w:pPr>
        <w:rPr>
          <w:rFonts w:ascii="Calibri" w:hAnsi="Calibri"/>
          <w:sz w:val="22"/>
          <w:szCs w:val="22"/>
        </w:rPr>
      </w:pPr>
      <w:r>
        <w:t xml:space="preserve">I am generally satisfied with the contents of this report.  Although in  Section 4.5 </w:t>
      </w:r>
      <w:r>
        <w:rPr>
          <w:rFonts w:ascii="Verdana" w:hAnsi="Verdana"/>
          <w:sz w:val="19"/>
          <w:szCs w:val="19"/>
        </w:rPr>
        <w:t xml:space="preserve">I’m not too sure why enquiries were made to </w:t>
      </w:r>
      <w:r>
        <w:rPr>
          <w:rFonts w:ascii="Verdana" w:hAnsi="Verdana"/>
          <w:sz w:val="19"/>
          <w:szCs w:val="19"/>
          <w:u w:val="single"/>
        </w:rPr>
        <w:t>Sandwell</w:t>
      </w:r>
      <w:r>
        <w:rPr>
          <w:rFonts w:ascii="Verdana" w:hAnsi="Verdana"/>
          <w:sz w:val="19"/>
          <w:szCs w:val="19"/>
        </w:rPr>
        <w:t xml:space="preserve"> Borough Council (!)</w:t>
      </w:r>
    </w:p>
    <w:p w:rsidR="00E10F9C" w:rsidRDefault="00E10F9C" w:rsidP="00E10F9C"/>
    <w:p w:rsidR="00E10F9C" w:rsidRDefault="00E10F9C" w:rsidP="00E10F9C">
      <w:r>
        <w:t xml:space="preserve">I have no objection to development proceeding, in accordance with the recommendations made in section 9, as detailed below – either Option 1 or Option 2.  All remedial measures must be completed suitably validated, and a validation report submitted for approval. </w:t>
      </w:r>
    </w:p>
    <w:p w:rsidR="00E10F9C" w:rsidRDefault="00E10F9C" w:rsidP="00E10F9C">
      <w:r>
        <w:t>Furthermore it is recommended that an asbestos survey of the site is completed prior to redevelopment.  </w:t>
      </w:r>
    </w:p>
    <w:p w:rsidR="00E10F9C" w:rsidRDefault="00E10F9C" w:rsidP="00E10F9C">
      <w:pPr>
        <w:rPr>
          <w:sz w:val="32"/>
          <w:szCs w:val="32"/>
        </w:rPr>
      </w:pPr>
    </w:p>
    <w:p w:rsidR="00E10F9C" w:rsidRDefault="00E10F9C" w:rsidP="00E10F9C">
      <w:pPr>
        <w:autoSpaceDE w:val="0"/>
        <w:autoSpaceDN w:val="0"/>
        <w:rPr>
          <w:b/>
          <w:bCs/>
          <w:sz w:val="20"/>
          <w:szCs w:val="20"/>
        </w:rPr>
      </w:pPr>
      <w:r>
        <w:rPr>
          <w:b/>
          <w:bCs/>
          <w:sz w:val="20"/>
          <w:szCs w:val="20"/>
        </w:rPr>
        <w:t xml:space="preserve">Option 1 </w:t>
      </w:r>
    </w:p>
    <w:p w:rsidR="00E10F9C" w:rsidRDefault="00E10F9C" w:rsidP="00E10F9C">
      <w:pPr>
        <w:autoSpaceDE w:val="0"/>
        <w:autoSpaceDN w:val="0"/>
        <w:rPr>
          <w:sz w:val="20"/>
          <w:szCs w:val="20"/>
        </w:rPr>
      </w:pPr>
      <w:r>
        <w:rPr>
          <w:sz w:val="20"/>
          <w:szCs w:val="20"/>
        </w:rPr>
        <w:t>(A) In lieu of a site investigation it is proposed to remediate the site assuming the site is impacted by elevated levels of contamination. The proposed remedial measures include:</w:t>
      </w:r>
    </w:p>
    <w:p w:rsidR="00E10F9C" w:rsidRDefault="00E10F9C" w:rsidP="00E10F9C">
      <w:pPr>
        <w:autoSpaceDE w:val="0"/>
        <w:autoSpaceDN w:val="0"/>
        <w:rPr>
          <w:sz w:val="20"/>
          <w:szCs w:val="20"/>
        </w:rPr>
      </w:pPr>
      <w:r>
        <w:rPr>
          <w:sz w:val="20"/>
          <w:szCs w:val="20"/>
        </w:rPr>
        <w:t>1. Incorporation of a 600mm cover on all landscaped / garden areas</w:t>
      </w:r>
    </w:p>
    <w:p w:rsidR="00E10F9C" w:rsidRDefault="00E10F9C" w:rsidP="00E10F9C">
      <w:pPr>
        <w:autoSpaceDE w:val="0"/>
        <w:autoSpaceDN w:val="0"/>
        <w:rPr>
          <w:sz w:val="20"/>
          <w:szCs w:val="20"/>
        </w:rPr>
      </w:pPr>
      <w:r>
        <w:rPr>
          <w:sz w:val="20"/>
          <w:szCs w:val="20"/>
        </w:rPr>
        <w:t>2. Incorporation of a geotextile at the base of the cover</w:t>
      </w:r>
    </w:p>
    <w:p w:rsidR="00E10F9C" w:rsidRDefault="00E10F9C" w:rsidP="00E10F9C">
      <w:pPr>
        <w:autoSpaceDE w:val="0"/>
        <w:autoSpaceDN w:val="0"/>
        <w:rPr>
          <w:sz w:val="20"/>
          <w:szCs w:val="20"/>
        </w:rPr>
      </w:pPr>
      <w:r>
        <w:rPr>
          <w:sz w:val="20"/>
          <w:szCs w:val="20"/>
        </w:rPr>
        <w:t>3. Specification of water mains as PE/Al/PE</w:t>
      </w:r>
    </w:p>
    <w:p w:rsidR="00E10F9C" w:rsidRDefault="00E10F9C" w:rsidP="00E10F9C">
      <w:pPr>
        <w:autoSpaceDE w:val="0"/>
        <w:autoSpaceDN w:val="0"/>
        <w:rPr>
          <w:sz w:val="20"/>
          <w:szCs w:val="20"/>
        </w:rPr>
      </w:pPr>
      <w:r>
        <w:rPr>
          <w:sz w:val="20"/>
          <w:szCs w:val="20"/>
        </w:rPr>
        <w:t>4. Laying of water mains in a remediated alignment where the mains runs through made ground</w:t>
      </w:r>
    </w:p>
    <w:p w:rsidR="00E10F9C" w:rsidRDefault="00E10F9C" w:rsidP="00E10F9C">
      <w:pPr>
        <w:autoSpaceDE w:val="0"/>
        <w:autoSpaceDN w:val="0"/>
        <w:rPr>
          <w:sz w:val="20"/>
          <w:szCs w:val="20"/>
        </w:rPr>
      </w:pPr>
    </w:p>
    <w:p w:rsidR="00E10F9C" w:rsidRDefault="00E10F9C" w:rsidP="00E10F9C">
      <w:pPr>
        <w:autoSpaceDE w:val="0"/>
        <w:autoSpaceDN w:val="0"/>
        <w:rPr>
          <w:sz w:val="20"/>
          <w:szCs w:val="20"/>
        </w:rPr>
      </w:pPr>
      <w:r>
        <w:rPr>
          <w:sz w:val="20"/>
          <w:szCs w:val="20"/>
        </w:rPr>
        <w:t>All of the above requirements would be negated by the removal of made ground across the site.</w:t>
      </w:r>
    </w:p>
    <w:p w:rsidR="00E10F9C" w:rsidRDefault="00E10F9C" w:rsidP="00E10F9C">
      <w:pPr>
        <w:autoSpaceDE w:val="0"/>
        <w:autoSpaceDN w:val="0"/>
        <w:rPr>
          <w:sz w:val="20"/>
          <w:szCs w:val="20"/>
        </w:rPr>
      </w:pPr>
    </w:p>
    <w:p w:rsidR="00E10F9C" w:rsidRDefault="00E10F9C" w:rsidP="00E10F9C">
      <w:pPr>
        <w:autoSpaceDE w:val="0"/>
        <w:autoSpaceDN w:val="0"/>
        <w:rPr>
          <w:sz w:val="20"/>
          <w:szCs w:val="20"/>
        </w:rPr>
      </w:pPr>
      <w:r>
        <w:rPr>
          <w:sz w:val="20"/>
          <w:szCs w:val="20"/>
        </w:rPr>
        <w:t>AND</w:t>
      </w:r>
    </w:p>
    <w:p w:rsidR="00E10F9C" w:rsidRDefault="00E10F9C" w:rsidP="00E10F9C">
      <w:pPr>
        <w:autoSpaceDE w:val="0"/>
        <w:autoSpaceDN w:val="0"/>
        <w:rPr>
          <w:sz w:val="20"/>
          <w:szCs w:val="20"/>
        </w:rPr>
      </w:pPr>
      <w:r>
        <w:rPr>
          <w:sz w:val="20"/>
          <w:szCs w:val="20"/>
        </w:rPr>
        <w:t>(B) In lieu of gas monitoring, incorporation of gas protection</w:t>
      </w:r>
    </w:p>
    <w:p w:rsidR="00E10F9C" w:rsidRDefault="00E10F9C" w:rsidP="00E10F9C">
      <w:pPr>
        <w:autoSpaceDE w:val="0"/>
        <w:autoSpaceDN w:val="0"/>
        <w:rPr>
          <w:sz w:val="20"/>
          <w:szCs w:val="20"/>
        </w:rPr>
      </w:pPr>
      <w:r>
        <w:rPr>
          <w:sz w:val="20"/>
          <w:szCs w:val="20"/>
        </w:rPr>
        <w:t>measures in line with Amber 1 of CIRIA C665.</w:t>
      </w:r>
    </w:p>
    <w:p w:rsidR="00E10F9C" w:rsidRDefault="00E10F9C" w:rsidP="00E10F9C">
      <w:pPr>
        <w:autoSpaceDE w:val="0"/>
        <w:autoSpaceDN w:val="0"/>
        <w:rPr>
          <w:sz w:val="20"/>
          <w:szCs w:val="20"/>
        </w:rPr>
      </w:pPr>
    </w:p>
    <w:p w:rsidR="00E10F9C" w:rsidRDefault="00E10F9C" w:rsidP="00E10F9C">
      <w:pPr>
        <w:autoSpaceDE w:val="0"/>
        <w:autoSpaceDN w:val="0"/>
        <w:rPr>
          <w:sz w:val="20"/>
          <w:szCs w:val="20"/>
        </w:rPr>
      </w:pPr>
    </w:p>
    <w:p w:rsidR="00E10F9C" w:rsidRDefault="00E10F9C" w:rsidP="00E10F9C">
      <w:pPr>
        <w:autoSpaceDE w:val="0"/>
        <w:autoSpaceDN w:val="0"/>
        <w:rPr>
          <w:sz w:val="20"/>
          <w:szCs w:val="20"/>
        </w:rPr>
      </w:pPr>
      <w:r>
        <w:rPr>
          <w:sz w:val="20"/>
          <w:szCs w:val="20"/>
        </w:rPr>
        <w:t>OR:</w:t>
      </w:r>
    </w:p>
    <w:p w:rsidR="00E10F9C" w:rsidRDefault="00E10F9C" w:rsidP="00E10F9C">
      <w:pPr>
        <w:autoSpaceDE w:val="0"/>
        <w:autoSpaceDN w:val="0"/>
        <w:rPr>
          <w:sz w:val="20"/>
          <w:szCs w:val="20"/>
        </w:rPr>
      </w:pPr>
    </w:p>
    <w:p w:rsidR="00E10F9C" w:rsidRDefault="00E10F9C" w:rsidP="00E10F9C">
      <w:pPr>
        <w:autoSpaceDE w:val="0"/>
        <w:autoSpaceDN w:val="0"/>
        <w:rPr>
          <w:b/>
          <w:bCs/>
          <w:sz w:val="20"/>
          <w:szCs w:val="20"/>
        </w:rPr>
      </w:pPr>
      <w:r>
        <w:rPr>
          <w:b/>
          <w:bCs/>
          <w:sz w:val="20"/>
          <w:szCs w:val="20"/>
        </w:rPr>
        <w:t>Option 2</w:t>
      </w:r>
    </w:p>
    <w:p w:rsidR="00E10F9C" w:rsidRDefault="00E10F9C" w:rsidP="00E10F9C">
      <w:pPr>
        <w:autoSpaceDE w:val="0"/>
        <w:autoSpaceDN w:val="0"/>
        <w:rPr>
          <w:sz w:val="20"/>
          <w:szCs w:val="20"/>
        </w:rPr>
      </w:pPr>
      <w:r>
        <w:rPr>
          <w:sz w:val="20"/>
          <w:szCs w:val="20"/>
        </w:rPr>
        <w:t xml:space="preserve">(A) On completion of the site clearance four trial pits will be excavated across the site. Samples from the made ground from each position will be analysed to the made ground suite in Table 13 above.  Remedial measures as required depending on outcome of the sampling exercise.  </w:t>
      </w:r>
    </w:p>
    <w:p w:rsidR="00E10F9C" w:rsidRDefault="00E10F9C" w:rsidP="00E10F9C">
      <w:pPr>
        <w:autoSpaceDE w:val="0"/>
        <w:autoSpaceDN w:val="0"/>
        <w:rPr>
          <w:sz w:val="20"/>
          <w:szCs w:val="20"/>
        </w:rPr>
      </w:pPr>
      <w:r>
        <w:rPr>
          <w:sz w:val="20"/>
          <w:szCs w:val="20"/>
        </w:rPr>
        <w:t>AND</w:t>
      </w:r>
    </w:p>
    <w:p w:rsidR="00E10F9C" w:rsidRDefault="00E10F9C" w:rsidP="00E10F9C">
      <w:pPr>
        <w:autoSpaceDE w:val="0"/>
        <w:autoSpaceDN w:val="0"/>
        <w:rPr>
          <w:sz w:val="20"/>
          <w:szCs w:val="20"/>
        </w:rPr>
      </w:pPr>
      <w:r>
        <w:rPr>
          <w:sz w:val="20"/>
          <w:szCs w:val="20"/>
        </w:rPr>
        <w:t xml:space="preserve">(B) </w:t>
      </w:r>
      <w:r>
        <w:rPr>
          <w:b/>
          <w:bCs/>
          <w:sz w:val="20"/>
          <w:szCs w:val="20"/>
        </w:rPr>
        <w:t>Gas Monitoring</w:t>
      </w:r>
      <w:r>
        <w:rPr>
          <w:sz w:val="20"/>
          <w:szCs w:val="20"/>
        </w:rPr>
        <w:t xml:space="preserve">  - Install three gas monitoring wells in dynamic sampling boreholes. The wells will be monitored on six occasions over a three month period.</w:t>
      </w:r>
    </w:p>
    <w:p w:rsidR="00E10F9C" w:rsidRDefault="00E10F9C" w:rsidP="00E10F9C">
      <w:pPr>
        <w:rPr>
          <w:sz w:val="20"/>
          <w:szCs w:val="20"/>
        </w:rPr>
      </w:pPr>
    </w:p>
    <w:p w:rsidR="00E10F9C" w:rsidRDefault="00E10F9C" w:rsidP="00E10F9C">
      <w:pPr>
        <w:rPr>
          <w:sz w:val="20"/>
          <w:szCs w:val="20"/>
        </w:rPr>
      </w:pPr>
    </w:p>
    <w:p w:rsidR="00E10F9C" w:rsidRDefault="00E10F9C" w:rsidP="00E10F9C">
      <w:pPr>
        <w:rPr>
          <w:sz w:val="20"/>
          <w:szCs w:val="20"/>
        </w:rPr>
      </w:pPr>
    </w:p>
    <w:p w:rsidR="00E10F9C" w:rsidRDefault="00E10F9C" w:rsidP="00E10F9C">
      <w:pPr>
        <w:rPr>
          <w:sz w:val="22"/>
          <w:szCs w:val="22"/>
        </w:rPr>
      </w:pPr>
    </w:p>
    <w:p w:rsidR="00E10F9C" w:rsidRDefault="00E10F9C" w:rsidP="00E10F9C"/>
    <w:p w:rsidR="00E10F9C" w:rsidRDefault="00E10F9C" w:rsidP="00E10F9C">
      <w:pPr>
        <w:spacing w:after="240" w:line="276" w:lineRule="auto"/>
        <w:rPr>
          <w:color w:val="5F5F5F"/>
        </w:rPr>
      </w:pPr>
      <w:r>
        <w:t>Doug Cridland</w:t>
      </w:r>
      <w:r>
        <w:br/>
        <w:t xml:space="preserve">Waste &amp; Contaminated Land Officer </w:t>
      </w:r>
      <w:r>
        <w:br/>
        <w:t>Chorley Council</w:t>
      </w:r>
      <w:r>
        <w:br/>
      </w:r>
      <w:r>
        <w:br/>
      </w:r>
      <w:r>
        <w:rPr>
          <w:rFonts w:ascii="Wingdings" w:hAnsi="Wingdings"/>
          <w:color w:val="5F5F5F"/>
        </w:rPr>
        <w:t></w:t>
      </w:r>
      <w:r>
        <w:rPr>
          <w:color w:val="5F5F5F"/>
        </w:rPr>
        <w:t xml:space="preserve"> 01257 515661 | </w:t>
      </w:r>
      <w:r>
        <w:rPr>
          <w:rFonts w:ascii="Wingdings" w:hAnsi="Wingdings"/>
          <w:color w:val="5F5F5F"/>
        </w:rPr>
        <w:t></w:t>
      </w:r>
      <w:r>
        <w:rPr>
          <w:color w:val="5F5F5F"/>
        </w:rPr>
        <w:t xml:space="preserve"> </w:t>
      </w:r>
      <w:hyperlink r:id="rId5" w:tooltip="www.chorley.gov.uk" w:history="1">
        <w:r>
          <w:rPr>
            <w:rStyle w:val="Hyperlink"/>
          </w:rPr>
          <w:t>www.chorley.gov.uk</w:t>
        </w:r>
      </w:hyperlink>
    </w:p>
    <w:p w:rsidR="00E10F9C" w:rsidRDefault="00E10F9C" w:rsidP="00E10F9C">
      <w:pPr>
        <w:rPr>
          <w:lang w:eastAsia="en-US"/>
        </w:rPr>
      </w:pPr>
    </w:p>
    <w:p w:rsidR="00F442EA" w:rsidRPr="00E10F9C" w:rsidRDefault="00F442EA" w:rsidP="00E10F9C">
      <w:bookmarkStart w:id="0" w:name="_GoBack"/>
      <w:bookmarkEnd w:id="0"/>
    </w:p>
    <w:sectPr w:rsidR="00F442EA" w:rsidRPr="00E10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40"/>
    <w:rsid w:val="00506D40"/>
    <w:rsid w:val="00E10F9C"/>
    <w:rsid w:val="00F4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4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D40"/>
    <w:pPr>
      <w:spacing w:before="100" w:beforeAutospacing="1" w:after="100" w:afterAutospacing="1"/>
    </w:pPr>
  </w:style>
  <w:style w:type="character" w:styleId="Hyperlink">
    <w:name w:val="Hyperlink"/>
    <w:basedOn w:val="DefaultParagraphFont"/>
    <w:uiPriority w:val="99"/>
    <w:semiHidden/>
    <w:unhideWhenUsed/>
    <w:rsid w:val="00E10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4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D40"/>
    <w:pPr>
      <w:spacing w:before="100" w:beforeAutospacing="1" w:after="100" w:afterAutospacing="1"/>
    </w:pPr>
  </w:style>
  <w:style w:type="character" w:styleId="Hyperlink">
    <w:name w:val="Hyperlink"/>
    <w:basedOn w:val="DefaultParagraphFont"/>
    <w:uiPriority w:val="99"/>
    <w:semiHidden/>
    <w:unhideWhenUsed/>
    <w:rsid w:val="00E10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2142">
      <w:bodyDiv w:val="1"/>
      <w:marLeft w:val="0"/>
      <w:marRight w:val="0"/>
      <w:marTop w:val="0"/>
      <w:marBottom w:val="0"/>
      <w:divBdr>
        <w:top w:val="none" w:sz="0" w:space="0" w:color="auto"/>
        <w:left w:val="none" w:sz="0" w:space="0" w:color="auto"/>
        <w:bottom w:val="none" w:sz="0" w:space="0" w:color="auto"/>
        <w:right w:val="none" w:sz="0" w:space="0" w:color="auto"/>
      </w:divBdr>
    </w:div>
    <w:div w:id="17618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rle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critchley</dc:creator>
  <cp:keywords/>
  <dc:description/>
  <cp:lastModifiedBy>elaine critchley</cp:lastModifiedBy>
  <cp:revision>2</cp:revision>
  <dcterms:created xsi:type="dcterms:W3CDTF">2012-02-01T09:06:00Z</dcterms:created>
  <dcterms:modified xsi:type="dcterms:W3CDTF">2012-02-01T09:06:00Z</dcterms:modified>
</cp:coreProperties>
</file>